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</w:rPr>
        <w:t>202</w:t>
      </w:r>
      <w:r>
        <w:rPr>
          <w:rFonts w:hint="eastAsia" w:ascii="方正小标宋简体" w:hAnsi="Times New Roman" w:eastAsia="方正小标宋简体"/>
          <w:sz w:val="44"/>
          <w:szCs w:val="32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44"/>
          <w:szCs w:val="32"/>
        </w:rPr>
        <w:t>年度郴州市科协科技创新服务能力提升计划项目入围项目名单</w:t>
      </w:r>
    </w:p>
    <w:tbl>
      <w:tblPr>
        <w:tblStyle w:val="5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1"/>
        <w:gridCol w:w="209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一、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党建带会建项目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（共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48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0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立项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红色引擎赋能抗癌事业，党建领航守护生命健康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郴州市抗癌协会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“护苗成长，健康同行”——党建引领儿童健康科普守护行动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郴州市护理学会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1"/>
        <w:gridCol w:w="209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、决策咨询调研课题项目（共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立项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44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郴州市低空经济发展状况调研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郴州职业技术学院科协</w:t>
            </w:r>
          </w:p>
        </w:tc>
        <w:tc>
          <w:tcPr>
            <w:tcW w:w="10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郴州市科普文旅融合发展现状与对策研究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郴州市科技馆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1.5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“就业+创业”双轮驱动下的高校毕业生留郴粘性调——基于创业生态与产业需求的耦合效应分析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湘南学院科协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《郴州红色文旅资源活化利用的创新路径——基于“党建+亲子健康研学”的融合模式调研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default" w:ascii="仿宋" w:hAnsi="仿宋" w:eastAsia="仿宋"/>
                <w:color w:val="000000"/>
                <w:sz w:val="30"/>
                <w:szCs w:val="30"/>
                <w:lang w:val="en" w:eastAsia="zh-CN"/>
              </w:rPr>
              <w:t>郴州市护理学会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郴州市专精特新企业与职业院校校企合作现状与对策研究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郴州职业技术学院科协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郴州市锂电新能源产业现状与对策研究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湘南学院科协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1.5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品牌活动项目（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48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0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立项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智翼振乡：郴职科协无人机科技赋能乡村振兴新航程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郴州职业技术学院科协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三医联动协同创新论坛:医保支付改革与基层用药优化实践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郴州市药学会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智汇有色·锂动未来——郴州市锂电新能源学术交流品牌计划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郴州市化学学会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探索未来,科技筑梦”科技嘉年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华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郴州市郴投集智文化旅游运营有限公司科协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提升基层医疗机构感染防控能力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郴州市医学会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苏仙瑶岭生态休闲农业产业扶贫与乡村振兴行动湘论坛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湖南苏仙瑶岭生态休闲农业开发有限公司科协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测绘地理信息科普宣传系列活动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郴州市测绘地理信息学会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郴州柑橘高质量发展学术交流系列活动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南岭柑橘研究院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模范工作站建设及学会服务站培育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项目（共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48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0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立项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郴州市林学会“油茶互补”产业服务站建设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郴州市林学会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模范工作站建设及学会服务站培育项目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湖南格瑞普新能源有限公司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郴州市药学会服务站产教融合协同创新平台建设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郴州市药学会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银铅锌绿色智能冶金研究院学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会服务站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湖南白银股份有限公司科协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EE"/>
    <w:rsid w:val="00007EED"/>
    <w:rsid w:val="000301CD"/>
    <w:rsid w:val="000A5A38"/>
    <w:rsid w:val="000B353C"/>
    <w:rsid w:val="001719BE"/>
    <w:rsid w:val="001D1D0E"/>
    <w:rsid w:val="00212AEE"/>
    <w:rsid w:val="002E7061"/>
    <w:rsid w:val="00305ECD"/>
    <w:rsid w:val="003D5A55"/>
    <w:rsid w:val="004618F0"/>
    <w:rsid w:val="00474B58"/>
    <w:rsid w:val="00522935"/>
    <w:rsid w:val="00621A81"/>
    <w:rsid w:val="00636B0D"/>
    <w:rsid w:val="00663EC2"/>
    <w:rsid w:val="006911B3"/>
    <w:rsid w:val="009648A8"/>
    <w:rsid w:val="009B3C77"/>
    <w:rsid w:val="00A1508A"/>
    <w:rsid w:val="00B17907"/>
    <w:rsid w:val="00B423A9"/>
    <w:rsid w:val="00BD60F4"/>
    <w:rsid w:val="00C21A2A"/>
    <w:rsid w:val="00C462BA"/>
    <w:rsid w:val="00C612C6"/>
    <w:rsid w:val="00CF09B5"/>
    <w:rsid w:val="00D22626"/>
    <w:rsid w:val="00D566A1"/>
    <w:rsid w:val="00D60526"/>
    <w:rsid w:val="00D85390"/>
    <w:rsid w:val="00E30611"/>
    <w:rsid w:val="00EE40F5"/>
    <w:rsid w:val="00FD0CA1"/>
    <w:rsid w:val="00FF4D78"/>
    <w:rsid w:val="0285702A"/>
    <w:rsid w:val="058B573F"/>
    <w:rsid w:val="0D51604B"/>
    <w:rsid w:val="274C0441"/>
    <w:rsid w:val="39BDCF13"/>
    <w:rsid w:val="3DBE364A"/>
    <w:rsid w:val="3FB0036F"/>
    <w:rsid w:val="4DB98E2F"/>
    <w:rsid w:val="5BEE7BD5"/>
    <w:rsid w:val="5BF37C6C"/>
    <w:rsid w:val="5DFF809B"/>
    <w:rsid w:val="65FF4EDF"/>
    <w:rsid w:val="6EF78BB3"/>
    <w:rsid w:val="6FBF18C7"/>
    <w:rsid w:val="79FB5A5D"/>
    <w:rsid w:val="7BFF99D7"/>
    <w:rsid w:val="7FDFA643"/>
    <w:rsid w:val="7FE51938"/>
    <w:rsid w:val="BBBB5805"/>
    <w:rsid w:val="BE43A085"/>
    <w:rsid w:val="D2CF0C87"/>
    <w:rsid w:val="D37BA656"/>
    <w:rsid w:val="DF7F3340"/>
    <w:rsid w:val="EFED8264"/>
    <w:rsid w:val="F75FDFAC"/>
    <w:rsid w:val="F7FFE0C3"/>
    <w:rsid w:val="FEBF6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CZSKXxhb</Company>
  <Pages>3</Pages>
  <Words>174</Words>
  <Characters>996</Characters>
  <Lines>8</Lines>
  <Paragraphs>2</Paragraphs>
  <TotalTime>14</TotalTime>
  <ScaleCrop>false</ScaleCrop>
  <LinksUpToDate>false</LinksUpToDate>
  <CharactersWithSpaces>1168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2016-10-21T06:37:00Z</dcterms:created>
  <dc:creator>kj</dc:creator>
  <cp:lastModifiedBy>Administrator</cp:lastModifiedBy>
  <cp:lastPrinted>2025-05-20T01:10:00Z</cp:lastPrinted>
  <dcterms:modified xsi:type="dcterms:W3CDTF">2025-05-19T11:09:53Z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